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37" w:rsidRDefault="006D3237" w:rsidP="006D3237">
      <w:pPr>
        <w:pStyle w:val="BodyText"/>
        <w:spacing w:before="7"/>
        <w:rPr>
          <w:rFonts w:ascii="Times New Roman"/>
          <w:sz w:val="19"/>
        </w:rPr>
      </w:pPr>
      <w:proofErr w:type="spellStart"/>
      <w:r>
        <w:rPr>
          <w:rFonts w:ascii="Times New Roman"/>
          <w:sz w:val="19"/>
        </w:rPr>
        <w:t>Annexe</w:t>
      </w:r>
      <w:proofErr w:type="spellEnd"/>
      <w:r>
        <w:rPr>
          <w:rFonts w:ascii="Times New Roman"/>
          <w:sz w:val="19"/>
        </w:rPr>
        <w:t xml:space="preserve"> 2 </w:t>
      </w:r>
    </w:p>
    <w:p w:rsidR="006D3237" w:rsidRDefault="006D3237" w:rsidP="006D3237">
      <w:pPr>
        <w:pStyle w:val="BodyText"/>
        <w:spacing w:before="7"/>
        <w:rPr>
          <w:rFonts w:ascii="Times New Roman"/>
          <w:sz w:val="19"/>
        </w:rPr>
      </w:pPr>
    </w:p>
    <w:p w:rsidR="006D3237" w:rsidRPr="00134DF2" w:rsidRDefault="006D3237" w:rsidP="006D3237">
      <w:r w:rsidRPr="00970142">
        <w:rPr>
          <w:noProof/>
          <w:lang w:val="en-GB" w:eastAsia="en-GB"/>
        </w:rPr>
        <w:drawing>
          <wp:inline distT="0" distB="0" distL="0" distR="0">
            <wp:extent cx="882650" cy="1216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37" w:rsidRPr="00134DF2" w:rsidRDefault="006D3237" w:rsidP="006D3237">
      <w:pPr>
        <w:jc w:val="center"/>
        <w:rPr>
          <w:b/>
          <w:sz w:val="36"/>
          <w:szCs w:val="28"/>
        </w:rPr>
      </w:pPr>
      <w:r w:rsidRPr="00134DF2">
        <w:rPr>
          <w:b/>
          <w:sz w:val="36"/>
          <w:szCs w:val="28"/>
        </w:rPr>
        <w:t>Alfaisal University</w:t>
      </w:r>
    </w:p>
    <w:p w:rsidR="006D3237" w:rsidRPr="00134DF2" w:rsidRDefault="006D3237" w:rsidP="006D3237">
      <w:pPr>
        <w:jc w:val="center"/>
        <w:rPr>
          <w:b/>
          <w:sz w:val="28"/>
        </w:rPr>
      </w:pPr>
      <w:r w:rsidRPr="00134DF2">
        <w:rPr>
          <w:b/>
          <w:sz w:val="28"/>
        </w:rPr>
        <w:t>Safety Inspection Check List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2409"/>
      </w:tblGrid>
      <w:tr w:rsidR="006D3237" w:rsidTr="00C520CB">
        <w:tc>
          <w:tcPr>
            <w:tcW w:w="2972" w:type="dxa"/>
            <w:shd w:val="clear" w:color="auto" w:fill="D9E2F3"/>
          </w:tcPr>
          <w:p w:rsidR="006D3237" w:rsidRPr="00A132FD" w:rsidRDefault="006D3237" w:rsidP="00C520CB">
            <w:pPr>
              <w:jc w:val="center"/>
              <w:rPr>
                <w:rFonts w:eastAsia="Calibri" w:cs="Arial"/>
                <w:b/>
                <w:color w:val="2F5496"/>
                <w:sz w:val="28"/>
                <w:szCs w:val="22"/>
              </w:rPr>
            </w:pPr>
            <w:r w:rsidRPr="00A132FD">
              <w:rPr>
                <w:rFonts w:eastAsia="Calibri" w:cs="Arial"/>
                <w:b/>
                <w:color w:val="2F5496"/>
                <w:sz w:val="28"/>
                <w:szCs w:val="22"/>
              </w:rPr>
              <w:t>Laboratory Name/Code</w:t>
            </w:r>
          </w:p>
        </w:tc>
        <w:tc>
          <w:tcPr>
            <w:tcW w:w="2410" w:type="dxa"/>
            <w:shd w:val="clear" w:color="auto" w:fill="D9E2F3"/>
          </w:tcPr>
          <w:p w:rsidR="006D3237" w:rsidRPr="00A132FD" w:rsidRDefault="006D3237" w:rsidP="00C520CB">
            <w:pPr>
              <w:jc w:val="center"/>
              <w:rPr>
                <w:rFonts w:eastAsia="Calibri" w:cs="Arial"/>
                <w:b/>
                <w:color w:val="2F5496"/>
                <w:sz w:val="28"/>
                <w:szCs w:val="22"/>
              </w:rPr>
            </w:pPr>
            <w:r w:rsidRPr="00A132FD">
              <w:rPr>
                <w:rFonts w:eastAsia="Calibri" w:cs="Arial"/>
                <w:b/>
                <w:color w:val="2F5496"/>
                <w:sz w:val="28"/>
                <w:szCs w:val="22"/>
              </w:rPr>
              <w:t>Manager</w:t>
            </w:r>
          </w:p>
        </w:tc>
        <w:tc>
          <w:tcPr>
            <w:tcW w:w="2410" w:type="dxa"/>
            <w:shd w:val="clear" w:color="auto" w:fill="D9E2F3"/>
          </w:tcPr>
          <w:p w:rsidR="006D3237" w:rsidRPr="00A132FD" w:rsidRDefault="006D3237" w:rsidP="00C520CB">
            <w:pPr>
              <w:jc w:val="center"/>
              <w:rPr>
                <w:rFonts w:eastAsia="Calibri" w:cs="Arial"/>
                <w:b/>
                <w:color w:val="2F5496"/>
                <w:sz w:val="28"/>
                <w:szCs w:val="22"/>
              </w:rPr>
            </w:pPr>
            <w:r w:rsidRPr="00A132FD">
              <w:rPr>
                <w:rFonts w:eastAsia="Calibri" w:cs="Arial"/>
                <w:b/>
                <w:color w:val="2F5496"/>
                <w:sz w:val="28"/>
                <w:szCs w:val="22"/>
              </w:rPr>
              <w:t>Inspector</w:t>
            </w:r>
          </w:p>
        </w:tc>
        <w:tc>
          <w:tcPr>
            <w:tcW w:w="2409" w:type="dxa"/>
            <w:shd w:val="clear" w:color="auto" w:fill="D9E2F3"/>
          </w:tcPr>
          <w:p w:rsidR="006D3237" w:rsidRPr="00A132FD" w:rsidRDefault="006D3237" w:rsidP="00C520CB">
            <w:pPr>
              <w:jc w:val="center"/>
              <w:rPr>
                <w:rFonts w:eastAsia="Calibri" w:cs="Arial"/>
                <w:b/>
                <w:color w:val="2F5496"/>
                <w:sz w:val="28"/>
                <w:szCs w:val="22"/>
              </w:rPr>
            </w:pPr>
            <w:r w:rsidRPr="00A132FD">
              <w:rPr>
                <w:rFonts w:eastAsia="Calibri" w:cs="Arial"/>
                <w:b/>
                <w:color w:val="2F5496"/>
                <w:sz w:val="28"/>
                <w:szCs w:val="22"/>
              </w:rPr>
              <w:t>Date of Inspection</w:t>
            </w:r>
          </w:p>
        </w:tc>
      </w:tr>
      <w:tr w:rsidR="006D3237" w:rsidTr="00C520CB">
        <w:tc>
          <w:tcPr>
            <w:tcW w:w="2972" w:type="dxa"/>
            <w:shd w:val="clear" w:color="auto" w:fill="auto"/>
          </w:tcPr>
          <w:p w:rsidR="006D3237" w:rsidRPr="00A132FD" w:rsidRDefault="006D3237" w:rsidP="00C520CB">
            <w:pPr>
              <w:jc w:val="center"/>
              <w:rPr>
                <w:rFonts w:eastAsia="Calibri" w:cs="Arial"/>
                <w:b/>
                <w:color w:val="2F5496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D3237" w:rsidRPr="00A132FD" w:rsidRDefault="006D3237" w:rsidP="00C520CB">
            <w:pPr>
              <w:jc w:val="center"/>
              <w:rPr>
                <w:rFonts w:eastAsia="Calibri" w:cs="Arial"/>
                <w:b/>
                <w:color w:val="2F5496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D3237" w:rsidRPr="00A132FD" w:rsidRDefault="006D3237" w:rsidP="00C520CB">
            <w:pPr>
              <w:jc w:val="center"/>
              <w:rPr>
                <w:rFonts w:eastAsia="Calibri" w:cs="Arial"/>
                <w:b/>
                <w:color w:val="2F5496"/>
                <w:sz w:val="28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D3237" w:rsidRPr="00A132FD" w:rsidRDefault="006D3237" w:rsidP="00C520CB">
            <w:pPr>
              <w:jc w:val="center"/>
              <w:rPr>
                <w:rFonts w:eastAsia="Calibri" w:cs="Arial"/>
                <w:b/>
                <w:color w:val="2F5496"/>
                <w:sz w:val="28"/>
                <w:szCs w:val="22"/>
              </w:rPr>
            </w:pPr>
          </w:p>
        </w:tc>
      </w:tr>
    </w:tbl>
    <w:p w:rsidR="006D3237" w:rsidRPr="00970142" w:rsidRDefault="006D3237" w:rsidP="006D3237">
      <w:pPr>
        <w:rPr>
          <w:b/>
          <w:color w:val="2F5496"/>
          <w:sz w:val="28"/>
        </w:rPr>
      </w:pPr>
    </w:p>
    <w:tbl>
      <w:tblPr>
        <w:tblW w:w="10170" w:type="dxa"/>
        <w:tblInd w:w="-5" w:type="dxa"/>
        <w:tblLook w:val="04A0" w:firstRow="1" w:lastRow="0" w:firstColumn="1" w:lastColumn="0" w:noHBand="0" w:noVBand="1"/>
      </w:tblPr>
      <w:tblGrid>
        <w:gridCol w:w="1213"/>
        <w:gridCol w:w="6299"/>
        <w:gridCol w:w="558"/>
        <w:gridCol w:w="504"/>
        <w:gridCol w:w="623"/>
        <w:gridCol w:w="973"/>
      </w:tblGrid>
      <w:tr w:rsidR="006D3237" w:rsidRPr="00126588" w:rsidTr="006D3237">
        <w:trPr>
          <w:trHeight w:val="1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D3237" w:rsidRPr="00126588" w:rsidRDefault="006D3237" w:rsidP="006D323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126588">
              <w:rPr>
                <w:rFonts w:ascii="Calibri" w:hAnsi="Calibri"/>
                <w:b/>
                <w:bCs/>
                <w:color w:val="000000"/>
                <w:lang w:eastAsia="en-GB"/>
              </w:rPr>
              <w:t>#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26588">
              <w:rPr>
                <w:rFonts w:ascii="Calibri" w:hAnsi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26588">
              <w:rPr>
                <w:rFonts w:ascii="Calibri" w:hAnsi="Calibri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26588">
              <w:rPr>
                <w:rFonts w:ascii="Calibri" w:hAnsi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26588">
              <w:rPr>
                <w:rFonts w:ascii="Calibri" w:hAnsi="Calibri"/>
                <w:b/>
                <w:bCs/>
                <w:color w:val="000000"/>
                <w:lang w:eastAsia="en-GB"/>
              </w:rPr>
              <w:t>N/A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26588">
              <w:rPr>
                <w:rFonts w:ascii="Calibri" w:hAnsi="Calibri"/>
                <w:b/>
                <w:bCs/>
                <w:color w:val="000000"/>
                <w:lang w:eastAsia="en-GB"/>
              </w:rPr>
              <w:t>Note</w:t>
            </w:r>
          </w:p>
        </w:tc>
      </w:tr>
      <w:tr w:rsidR="006D3237" w:rsidRPr="00256964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D3237" w:rsidRPr="00256964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256964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vAlign w:val="center"/>
            <w:hideMark/>
          </w:tcPr>
          <w:p w:rsidR="006D3237" w:rsidRPr="00256964" w:rsidRDefault="006D3237" w:rsidP="00C520CB">
            <w:pPr>
              <w:jc w:val="center"/>
              <w:rPr>
                <w:rFonts w:ascii="Calibri" w:hAnsi="Calibri"/>
                <w:bCs/>
                <w:color w:val="000000"/>
                <w:highlight w:val="yellow"/>
                <w:lang w:eastAsia="en-GB"/>
              </w:rPr>
            </w:pPr>
            <w:r w:rsidRPr="00C4626A">
              <w:rPr>
                <w:rFonts w:ascii="Calibri" w:hAnsi="Calibri"/>
                <w:bCs/>
                <w:color w:val="000000"/>
                <w:lang w:eastAsia="en-GB"/>
              </w:rPr>
              <w:t>Record keeping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D3237" w:rsidRPr="00256964" w:rsidRDefault="006D3237" w:rsidP="00C520CB">
            <w:pPr>
              <w:jc w:val="right"/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256964">
              <w:rPr>
                <w:rFonts w:ascii="Calibri" w:hAnsi="Calibri"/>
                <w:color w:val="000000"/>
                <w:highlight w:val="yellow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D3237" w:rsidRPr="00256964" w:rsidRDefault="006D3237" w:rsidP="00C520CB">
            <w:pPr>
              <w:jc w:val="center"/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256964">
              <w:rPr>
                <w:rFonts w:ascii="Calibri" w:hAnsi="Calibri"/>
                <w:color w:val="000000"/>
                <w:highlight w:val="yellow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D3237" w:rsidRPr="00256964" w:rsidRDefault="006D3237" w:rsidP="00C520CB">
            <w:pPr>
              <w:jc w:val="center"/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256964">
              <w:rPr>
                <w:rFonts w:ascii="Calibri" w:hAnsi="Calibri"/>
                <w:color w:val="000000"/>
                <w:highlight w:val="yellow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D3237" w:rsidRPr="00256964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256964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672EC3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672EC3">
              <w:rPr>
                <w:rFonts w:ascii="Calibri" w:hAnsi="Calibri"/>
                <w:lang w:eastAsia="en-GB"/>
              </w:rPr>
              <w:t>Concerns</w:t>
            </w:r>
            <w:r w:rsidRPr="00672EC3">
              <w:rPr>
                <w:rFonts w:ascii="Calibri" w:hAnsi="Calibri"/>
                <w:color w:val="000000"/>
                <w:lang w:eastAsia="en-GB"/>
              </w:rPr>
              <w:t xml:space="preserve"> from prior inspections have been well addressed and rectifications documented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672EC3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790E98">
              <w:rPr>
                <w:rFonts w:ascii="Calibri" w:hAnsi="Calibri"/>
                <w:color w:val="000000"/>
                <w:lang w:eastAsia="en-GB"/>
              </w:rPr>
              <w:t>Safety manual available in the lab.</w:t>
            </w:r>
            <w:r w:rsidRPr="00C4626A">
              <w:rPr>
                <w:rFonts w:ascii="Calibri" w:hAnsi="Calibri"/>
                <w:color w:val="000000"/>
                <w:lang w:eastAsia="en-GB"/>
              </w:rPr>
              <w:t xml:space="preserve"> And easily accessible and up</w:t>
            </w:r>
            <w:r>
              <w:rPr>
                <w:rFonts w:ascii="Calibri" w:hAnsi="Calibri"/>
                <w:color w:val="000000"/>
                <w:lang w:eastAsia="en-GB"/>
              </w:rPr>
              <w:t>-</w:t>
            </w:r>
            <w:r w:rsidRPr="00C4626A">
              <w:rPr>
                <w:rFonts w:ascii="Calibri" w:hAnsi="Calibri"/>
                <w:color w:val="000000"/>
                <w:lang w:eastAsia="en-GB"/>
              </w:rPr>
              <w:t>to</w:t>
            </w:r>
            <w:r>
              <w:rPr>
                <w:rFonts w:ascii="Calibri" w:hAnsi="Calibri"/>
                <w:color w:val="000000"/>
                <w:lang w:eastAsia="en-GB"/>
              </w:rPr>
              <w:t>-</w:t>
            </w:r>
            <w:r w:rsidRPr="00C4626A">
              <w:rPr>
                <w:rFonts w:ascii="Calibri" w:hAnsi="Calibri"/>
                <w:color w:val="000000"/>
                <w:lang w:eastAsia="en-GB"/>
              </w:rPr>
              <w:t>date!</w:t>
            </w:r>
            <w:r w:rsidRPr="00672EC3">
              <w:rPr>
                <w:rFonts w:ascii="Calibri" w:hAnsi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256964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672EC3">
              <w:rPr>
                <w:rFonts w:ascii="Calibri" w:hAnsi="Calibri"/>
                <w:color w:val="000000"/>
                <w:lang w:eastAsia="en-GB"/>
              </w:rPr>
              <w:t xml:space="preserve">Lab </w:t>
            </w:r>
            <w:r w:rsidRPr="00672EC3">
              <w:rPr>
                <w:rFonts w:ascii="Calibri" w:hAnsi="Calibri"/>
                <w:lang w:eastAsia="en-GB"/>
              </w:rPr>
              <w:t xml:space="preserve">workers/students </w:t>
            </w:r>
            <w:r w:rsidRPr="00672EC3">
              <w:rPr>
                <w:rFonts w:ascii="Calibri" w:hAnsi="Calibri"/>
                <w:color w:val="000000"/>
                <w:lang w:eastAsia="en-GB"/>
              </w:rPr>
              <w:t>list is up-to-date</w:t>
            </w:r>
            <w:r w:rsidRPr="00672EC3">
              <w:rPr>
                <w:rFonts w:ascii="Calibri" w:hAnsi="Calibri"/>
                <w:lang w:eastAsia="en-GB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256964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672EC3">
              <w:rPr>
                <w:rFonts w:ascii="Calibri" w:hAnsi="Calibri"/>
                <w:lang w:eastAsia="en-GB"/>
              </w:rPr>
              <w:t xml:space="preserve">Lab/workers </w:t>
            </w:r>
            <w:r w:rsidRPr="00672EC3">
              <w:rPr>
                <w:rFonts w:ascii="Calibri" w:hAnsi="Calibri"/>
                <w:color w:val="000000"/>
                <w:lang w:eastAsia="en-GB"/>
              </w:rPr>
              <w:t xml:space="preserve">have complete </w:t>
            </w:r>
            <w:proofErr w:type="gramStart"/>
            <w:r w:rsidRPr="00672EC3">
              <w:rPr>
                <w:rFonts w:ascii="Calibri" w:hAnsi="Calibri"/>
                <w:color w:val="000000"/>
                <w:lang w:eastAsia="en-GB"/>
              </w:rPr>
              <w:t>proper  safety</w:t>
            </w:r>
            <w:proofErr w:type="gramEnd"/>
            <w:r w:rsidRPr="00672EC3">
              <w:rPr>
                <w:rFonts w:ascii="Calibri" w:hAnsi="Calibri"/>
                <w:color w:val="000000"/>
                <w:lang w:eastAsia="en-GB"/>
              </w:rPr>
              <w:t xml:space="preserve"> training and this is documented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256964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672EC3">
              <w:rPr>
                <w:rFonts w:ascii="Calibri" w:hAnsi="Calibri"/>
                <w:color w:val="000000"/>
                <w:lang w:eastAsia="en-GB"/>
              </w:rPr>
              <w:t>First aid and chemical spill kits available and in order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C4626A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lang w:eastAsia="en-GB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672EC3">
              <w:rPr>
                <w:rFonts w:ascii="Calibri" w:hAnsi="Calibri"/>
                <w:color w:val="000000"/>
                <w:lang w:eastAsia="en-GB"/>
              </w:rPr>
              <w:t>Lab personal protective equipment offered mirrors current dangers in the Lab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E042FF" w:rsidRDefault="006D3237" w:rsidP="00C520CB">
            <w:pPr>
              <w:jc w:val="center"/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C4626A">
              <w:rPr>
                <w:rFonts w:ascii="Calibri" w:hAnsi="Calibri"/>
                <w:color w:val="000000"/>
                <w:lang w:eastAsia="en-GB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E042FF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57228B">
              <w:rPr>
                <w:rFonts w:ascii="Calibri" w:hAnsi="Calibri"/>
                <w:color w:val="000000"/>
                <w:lang w:eastAsia="en-GB"/>
              </w:rPr>
              <w:t>Contact of the person responsible for lab safety and the emergency contact numbers including mobile phone are posted near the lab entrance.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E042FF" w:rsidRDefault="006D3237" w:rsidP="00C520CB">
            <w:pPr>
              <w:jc w:val="center"/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B043F5">
              <w:rPr>
                <w:rFonts w:ascii="Calibri" w:hAnsi="Calibri"/>
                <w:color w:val="000000"/>
                <w:lang w:eastAsia="en-GB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57228B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Incident report forms are available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256964">
              <w:rPr>
                <w:rFonts w:ascii="Calibri" w:hAnsi="Calibri"/>
                <w:bCs/>
                <w:color w:val="000000"/>
                <w:lang w:eastAsia="en-GB"/>
              </w:rPr>
              <w:t xml:space="preserve">                                                    </w:t>
            </w:r>
            <w:r w:rsidRPr="00C4626A">
              <w:rPr>
                <w:rFonts w:ascii="Calibri" w:hAnsi="Calibri"/>
                <w:bCs/>
                <w:color w:val="000000"/>
                <w:lang w:eastAsia="en-GB"/>
              </w:rPr>
              <w:t>General Safety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Lab person</w:t>
            </w:r>
            <w:r w:rsidRPr="00C4626A">
              <w:rPr>
                <w:rFonts w:ascii="Calibri" w:hAnsi="Calibri"/>
                <w:color w:val="000000"/>
                <w:lang w:eastAsia="en-GB"/>
              </w:rPr>
              <w:t>n</w:t>
            </w:r>
            <w:r w:rsidRPr="00126588">
              <w:rPr>
                <w:rFonts w:ascii="Calibri" w:hAnsi="Calibri"/>
                <w:color w:val="000000"/>
                <w:lang w:eastAsia="en-GB"/>
              </w:rPr>
              <w:t>el are alert of the location and contents of the safety manual.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B043F5">
              <w:rPr>
                <w:rFonts w:ascii="Calibri" w:hAnsi="Calibri"/>
                <w:color w:val="000000"/>
                <w:lang w:eastAsia="en-GB"/>
              </w:rPr>
              <w:t>Personal protective equipment (gloves, lab coats, aprons, and goggles available in the lab.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57228B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Eyewash/safety shower available within a walking distance of 10 seconds.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C4626A">
              <w:rPr>
                <w:rFonts w:ascii="Calibri" w:hAnsi="Calibri"/>
                <w:color w:val="000000"/>
                <w:lang w:eastAsia="en-GB"/>
              </w:rPr>
              <w:t>Sharps placed in designated sharp containers and the container is no more than three-quarters full?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57228B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57228B">
              <w:rPr>
                <w:rFonts w:ascii="Calibri" w:hAnsi="Calibri"/>
                <w:color w:val="000000"/>
                <w:lang w:eastAsia="en-GB"/>
              </w:rPr>
              <w:t>Floors dry and free of slip hazards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57228B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57228B">
              <w:rPr>
                <w:rFonts w:ascii="Calibri" w:hAnsi="Calibri"/>
                <w:color w:val="000000"/>
                <w:lang w:eastAsia="en-GB"/>
              </w:rPr>
              <w:t>Lab floors, aisles, and adjacent hallways unobstructed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Fume hoods tested and in date (check date sticker on hoods, ≤ 12 months).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57228B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57228B">
              <w:rPr>
                <w:rFonts w:ascii="Calibri" w:hAnsi="Calibri"/>
                <w:color w:val="000000"/>
                <w:lang w:eastAsia="en-GB"/>
              </w:rPr>
              <w:t>Extension cords are used temporarily and power strip not daisy-chained together?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57228B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57228B">
              <w:rPr>
                <w:rFonts w:ascii="Calibri" w:hAnsi="Calibri"/>
                <w:color w:val="000000"/>
                <w:lang w:eastAsia="en-GB"/>
              </w:rPr>
              <w:t>No exposed wiring or damaged electrical cords?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57228B">
              <w:rPr>
                <w:rFonts w:ascii="Calibri" w:hAnsi="Calibri"/>
                <w:color w:val="000000"/>
                <w:lang w:eastAsia="en-GB"/>
              </w:rPr>
              <w:t>Is a charged and regularly inspected fire extinguisher located in the proper place in the Lab?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C4626A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Fridge/Freezer temperature monitoring record documented.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20</w:t>
            </w:r>
          </w:p>
        </w:tc>
        <w:tc>
          <w:tcPr>
            <w:tcW w:w="6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237" w:rsidRPr="00C4626A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C4626A">
              <w:rPr>
                <w:rFonts w:ascii="Calibri" w:hAnsi="Calibri"/>
                <w:color w:val="000000"/>
                <w:lang w:eastAsia="en-GB"/>
              </w:rPr>
              <w:t xml:space="preserve">Are secondary containers </w:t>
            </w:r>
            <w:proofErr w:type="gramStart"/>
            <w:r w:rsidRPr="00C4626A">
              <w:rPr>
                <w:rFonts w:ascii="Calibri" w:hAnsi="Calibri"/>
                <w:color w:val="000000"/>
                <w:lang w:eastAsia="en-GB"/>
              </w:rPr>
              <w:t>labelled  with</w:t>
            </w:r>
            <w:proofErr w:type="gramEnd"/>
            <w:r w:rsidRPr="00C4626A">
              <w:rPr>
                <w:rFonts w:ascii="Calibri" w:hAnsi="Calibri"/>
                <w:color w:val="000000"/>
                <w:lang w:eastAsia="en-GB"/>
              </w:rPr>
              <w:t xml:space="preserve"> the following: </w:t>
            </w:r>
          </w:p>
          <w:p w:rsidR="006D3237" w:rsidRPr="00C4626A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               </w:t>
            </w:r>
            <w:r w:rsidRPr="00C4626A">
              <w:rPr>
                <w:rFonts w:ascii="Calibri" w:hAnsi="Calibri"/>
                <w:color w:val="000000"/>
                <w:lang w:eastAsia="en-GB"/>
              </w:rPr>
              <w:t>Chemical name</w:t>
            </w:r>
          </w:p>
          <w:p w:rsidR="006D3237" w:rsidRPr="00C4626A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                </w:t>
            </w:r>
            <w:r w:rsidRPr="00C4626A">
              <w:rPr>
                <w:rFonts w:ascii="Calibri" w:hAnsi="Calibri"/>
                <w:color w:val="000000"/>
                <w:lang w:eastAsia="en-GB"/>
              </w:rPr>
              <w:t>Appropriate hazard warnings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237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                             </w:t>
            </w:r>
            <w:r w:rsidRPr="00126588">
              <w:rPr>
                <w:rFonts w:ascii="Calibri" w:hAnsi="Calibri"/>
                <w:b/>
                <w:bCs/>
                <w:color w:val="000000"/>
                <w:lang w:eastAsia="en-GB"/>
              </w:rPr>
              <w:t>Chemical Safety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Chemical storage cabinets labelled and fitted with self-closing doors.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Chemicals stored appropriately according to compatibility and manufacturer instructions.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Corrosive acids/bases stored safely (below the eye level) using non-metallic shelves.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A1554E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A1554E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A1554E">
              <w:rPr>
                <w:rFonts w:ascii="Calibri" w:hAnsi="Calibri"/>
                <w:color w:val="000000"/>
                <w:lang w:eastAsia="en-GB"/>
              </w:rPr>
              <w:t>All flammable solvents stored in fire proof cabinets.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A1554E" w:rsidRDefault="006D3237" w:rsidP="00C520CB">
            <w:pPr>
              <w:jc w:val="center"/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A1554E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C4626A">
              <w:rPr>
                <w:rFonts w:ascii="Calibri" w:hAnsi="Calibri"/>
                <w:color w:val="000000"/>
                <w:lang w:eastAsia="en-GB"/>
              </w:rPr>
              <w:t>Flammable materials requiring refrigeration are placed in explosion- proof or flammable refrigerators only?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2</w:t>
            </w:r>
            <w:r>
              <w:rPr>
                <w:rFonts w:ascii="Calibri" w:hAnsi="Calibri"/>
                <w:color w:val="000000"/>
                <w:lang w:eastAsia="en-GB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All chemi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cals/reagents labelled properly </w:t>
            </w:r>
            <w:r w:rsidRPr="00C4626A">
              <w:rPr>
                <w:rFonts w:ascii="Calibri" w:hAnsi="Calibri"/>
                <w:color w:val="000000"/>
                <w:lang w:eastAsia="en-GB"/>
              </w:rPr>
              <w:t>with the full chemical or trade name (Abbreviations or formulas NOT adequate!)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Are all lab personnel aware about chemical spill control plan?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Chemical spill kit readily available and accessible to all lab personnel.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Chemical wastes handled properly in compliance with environmental safety.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Chemical inventory available.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Hazardous materials near sinks or drains are placed in secondary containment?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Secondary containers clean and free from spilled material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Chemical inventory regularly updated.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List of high use chemicals is available.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 xml:space="preserve">List of </w:t>
            </w:r>
            <w:proofErr w:type="gramStart"/>
            <w:r w:rsidRPr="00126588">
              <w:rPr>
                <w:rFonts w:ascii="Calibri" w:hAnsi="Calibri"/>
                <w:color w:val="000000"/>
                <w:lang w:eastAsia="en-GB"/>
              </w:rPr>
              <w:t>high risk</w:t>
            </w:r>
            <w:proofErr w:type="gramEnd"/>
            <w:r w:rsidRPr="00126588">
              <w:rPr>
                <w:rFonts w:ascii="Calibri" w:hAnsi="Calibri"/>
                <w:color w:val="000000"/>
                <w:lang w:eastAsia="en-GB"/>
              </w:rPr>
              <w:t xml:space="preserve"> chemicals is available.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 xml:space="preserve">MSDS (SDS) of high use and </w:t>
            </w:r>
            <w:proofErr w:type="gramStart"/>
            <w:r w:rsidRPr="00126588">
              <w:rPr>
                <w:rFonts w:ascii="Calibri" w:hAnsi="Calibri"/>
                <w:color w:val="000000"/>
                <w:lang w:eastAsia="en-GB"/>
              </w:rPr>
              <w:t>high risk</w:t>
            </w:r>
            <w:proofErr w:type="gramEnd"/>
            <w:r w:rsidRPr="00126588">
              <w:rPr>
                <w:rFonts w:ascii="Calibri" w:hAnsi="Calibri"/>
                <w:color w:val="000000"/>
                <w:lang w:eastAsia="en-GB"/>
              </w:rPr>
              <w:t xml:space="preserve"> chemicals available and properly sited.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C4626A">
              <w:rPr>
                <w:rFonts w:ascii="Calibri" w:hAnsi="Calibri"/>
                <w:color w:val="000000"/>
                <w:lang w:eastAsia="en-GB"/>
              </w:rPr>
              <w:t>Are there old or expired chemicals in the area?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01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D3237" w:rsidRPr="00E042FF" w:rsidRDefault="006D3237" w:rsidP="00C520CB">
            <w:pPr>
              <w:jc w:val="center"/>
              <w:rPr>
                <w:rFonts w:ascii="Calibri" w:hAnsi="Calibri"/>
                <w:b/>
                <w:color w:val="000000"/>
                <w:highlight w:val="yellow"/>
                <w:lang w:eastAsia="en-GB"/>
              </w:rPr>
            </w:pPr>
            <w:r w:rsidRPr="00C4626A">
              <w:rPr>
                <w:rFonts w:ascii="Calibri" w:hAnsi="Calibri"/>
                <w:b/>
                <w:color w:val="000000"/>
                <w:lang w:eastAsia="en-GB"/>
              </w:rPr>
              <w:t>Biosafety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C75795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C75795">
              <w:rPr>
                <w:rFonts w:ascii="Calibri" w:hAnsi="Calibri"/>
                <w:color w:val="000000"/>
                <w:lang w:eastAsia="en-GB"/>
              </w:rPr>
              <w:t xml:space="preserve">Biohazard bags/containers are available and regularly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(once a month) </w:t>
            </w:r>
            <w:r w:rsidRPr="00C75795">
              <w:rPr>
                <w:rFonts w:ascii="Calibri" w:hAnsi="Calibri"/>
                <w:color w:val="000000"/>
                <w:lang w:eastAsia="en-GB"/>
              </w:rPr>
              <w:t>replaced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C75795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C75795">
              <w:rPr>
                <w:rFonts w:ascii="Calibri" w:hAnsi="Calibri"/>
                <w:color w:val="000000"/>
                <w:lang w:eastAsia="en-GB"/>
              </w:rPr>
              <w:t xml:space="preserve">Biosafety hoods certifications are current.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                                </w:t>
            </w:r>
            <w:r w:rsidRPr="00126588">
              <w:rPr>
                <w:rFonts w:ascii="Calibri" w:hAnsi="Calibri"/>
                <w:b/>
                <w:bCs/>
                <w:color w:val="000000"/>
                <w:lang w:eastAsia="en-GB"/>
              </w:rPr>
              <w:t>Compressed Gasses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All gas cylinders stored in ventilated area (open area).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40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Flammable gas cylinders kept separately.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41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All ga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s cylinders securely restrained, </w:t>
            </w:r>
            <w:r w:rsidRPr="00C75795">
              <w:rPr>
                <w:rFonts w:ascii="Calibri" w:hAnsi="Calibri"/>
                <w:lang w:eastAsia="en-GB"/>
              </w:rPr>
              <w:t xml:space="preserve">braced or anchored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42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C4626A">
              <w:rPr>
                <w:rFonts w:ascii="Calibri" w:hAnsi="Calibri"/>
                <w:color w:val="000000"/>
                <w:lang w:eastAsia="en-GB"/>
              </w:rPr>
              <w:t xml:space="preserve">Cylinders over    100 cm tall secured to a rigid structure at 1/3 and 2/3 of their height with metal chains and with a max of TWO </w:t>
            </w:r>
            <w:proofErr w:type="gramStart"/>
            <w:r w:rsidRPr="00C4626A">
              <w:rPr>
                <w:rFonts w:ascii="Calibri" w:hAnsi="Calibri"/>
                <w:color w:val="000000"/>
                <w:lang w:eastAsia="en-GB"/>
              </w:rPr>
              <w:t>cylinders  per</w:t>
            </w:r>
            <w:proofErr w:type="gramEnd"/>
            <w:r w:rsidRPr="00C4626A">
              <w:rPr>
                <w:rFonts w:ascii="Calibri" w:hAnsi="Calibri"/>
                <w:color w:val="000000"/>
                <w:lang w:eastAsia="en-GB"/>
              </w:rPr>
              <w:t xml:space="preserve"> pair of chains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265D66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 w:rsidRPr="00265D66">
              <w:rPr>
                <w:rFonts w:ascii="Calibri" w:hAnsi="Calibri"/>
                <w:color w:val="000000"/>
                <w:lang w:eastAsia="en-GB"/>
              </w:rPr>
              <w:t>Regulators in good conditions, appropriate for gas type and pressure.</w:t>
            </w:r>
          </w:p>
          <w:p w:rsidR="006D3237" w:rsidRPr="00B812DD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265D66">
              <w:rPr>
                <w:rFonts w:ascii="Calibri" w:hAnsi="Calibri"/>
                <w:color w:val="000000"/>
                <w:lang w:eastAsia="en-GB"/>
              </w:rPr>
              <w:t xml:space="preserve">Cylinder valves closed and valve caps in </w:t>
            </w:r>
            <w:proofErr w:type="gramStart"/>
            <w:r w:rsidRPr="00265D66">
              <w:rPr>
                <w:rFonts w:ascii="Calibri" w:hAnsi="Calibri"/>
                <w:color w:val="000000"/>
                <w:lang w:eastAsia="en-GB"/>
              </w:rPr>
              <w:t>place  when</w:t>
            </w:r>
            <w:proofErr w:type="gramEnd"/>
            <w:r w:rsidRPr="00265D66">
              <w:rPr>
                <w:rFonts w:ascii="Calibri" w:hAnsi="Calibri"/>
                <w:color w:val="000000"/>
                <w:lang w:eastAsia="en-GB"/>
              </w:rPr>
              <w:t xml:space="preserve"> cylinders not in use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D3237" w:rsidRPr="00C4626A" w:rsidRDefault="006D3237" w:rsidP="00C520CB">
            <w:pPr>
              <w:jc w:val="center"/>
              <w:rPr>
                <w:rFonts w:ascii="Calibri" w:hAnsi="Calibri"/>
                <w:b/>
                <w:color w:val="000000"/>
                <w:highlight w:val="yellow"/>
                <w:lang w:eastAsia="en-GB"/>
              </w:rPr>
            </w:pPr>
            <w:r w:rsidRPr="00C4626A">
              <w:rPr>
                <w:rFonts w:ascii="Calibri" w:hAnsi="Calibri"/>
                <w:b/>
                <w:color w:val="000000"/>
                <w:lang w:eastAsia="en-GB"/>
              </w:rPr>
              <w:t>Waste disposal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1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44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B812DD" w:rsidRDefault="006D3237" w:rsidP="00C520CB">
            <w:pPr>
              <w:rPr>
                <w:rFonts w:ascii="Calibri" w:hAnsi="Calibri"/>
                <w:color w:val="000000"/>
                <w:highlight w:val="yellow"/>
                <w:lang w:eastAsia="en-GB"/>
              </w:rPr>
            </w:pPr>
            <w:r w:rsidRPr="00C4626A">
              <w:rPr>
                <w:rFonts w:ascii="Calibri" w:hAnsi="Calibri"/>
                <w:color w:val="000000"/>
                <w:lang w:eastAsia="en-GB"/>
              </w:rPr>
              <w:t>Are sharps segregated and placed in proper containers?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6D3237" w:rsidRPr="00126588" w:rsidTr="006D3237">
        <w:trPr>
          <w:trHeight w:val="46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45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237" w:rsidRPr="00126588" w:rsidRDefault="006D3237" w:rsidP="00C520C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Are proper bags and containers used for other infectious waste?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7" w:rsidRPr="00126588" w:rsidRDefault="006D3237" w:rsidP="00C520C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26588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</w:tbl>
    <w:p w:rsidR="006D3237" w:rsidRPr="00970142" w:rsidRDefault="006D3237" w:rsidP="006D3237">
      <w:pPr>
        <w:rPr>
          <w:b/>
          <w:color w:val="2F5496"/>
          <w:sz w:val="28"/>
        </w:rPr>
      </w:pPr>
    </w:p>
    <w:p w:rsidR="006D3237" w:rsidRPr="00970142" w:rsidRDefault="006D3237" w:rsidP="006D3237">
      <w:pPr>
        <w:rPr>
          <w:b/>
          <w:color w:val="2F5496"/>
        </w:rPr>
      </w:pPr>
      <w:r w:rsidRPr="00970142">
        <w:rPr>
          <w:b/>
          <w:color w:val="2F5496"/>
        </w:rPr>
        <w:t>Recommendation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3237" w:rsidRPr="00970142" w:rsidRDefault="006D3237" w:rsidP="006D3237">
      <w:pPr>
        <w:rPr>
          <w:b/>
          <w:color w:val="2F5496"/>
        </w:rPr>
      </w:pPr>
      <w:r w:rsidRPr="00970142">
        <w:rPr>
          <w:b/>
          <w:color w:val="2F5496"/>
        </w:rPr>
        <w:t>Urgent actions to be take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237" w:rsidRPr="00970142" w:rsidRDefault="006D3237" w:rsidP="006D3237">
      <w:pPr>
        <w:jc w:val="right"/>
        <w:rPr>
          <w:b/>
          <w:color w:val="2F5496"/>
        </w:rPr>
      </w:pPr>
      <w:r w:rsidRPr="00970142">
        <w:rPr>
          <w:b/>
          <w:color w:val="2F5496"/>
        </w:rPr>
        <w:t xml:space="preserve">Approved by </w:t>
      </w:r>
      <w:proofErr w:type="gramStart"/>
      <w:r w:rsidRPr="00970142">
        <w:rPr>
          <w:b/>
          <w:color w:val="2F5496"/>
        </w:rPr>
        <w:t>ULSC  Jan</w:t>
      </w:r>
      <w:proofErr w:type="gramEnd"/>
      <w:r w:rsidRPr="00970142">
        <w:rPr>
          <w:b/>
          <w:color w:val="2F5496"/>
        </w:rPr>
        <w:t xml:space="preserve"> 30</w:t>
      </w:r>
      <w:r w:rsidRPr="00970142">
        <w:rPr>
          <w:b/>
          <w:color w:val="2F5496"/>
          <w:vertAlign w:val="superscript"/>
        </w:rPr>
        <w:t>th</w:t>
      </w:r>
      <w:r w:rsidRPr="00970142">
        <w:rPr>
          <w:b/>
          <w:color w:val="2F5496"/>
        </w:rPr>
        <w:t xml:space="preserve"> 2019</w:t>
      </w: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6D3237" w:rsidRDefault="006D3237" w:rsidP="006D3237">
      <w:pPr>
        <w:pStyle w:val="Appendix"/>
        <w:spacing w:line="360" w:lineRule="auto"/>
        <w:jc w:val="both"/>
        <w:outlineLvl w:val="0"/>
        <w:rPr>
          <w:b w:val="0"/>
          <w:sz w:val="22"/>
          <w:szCs w:val="22"/>
        </w:rPr>
      </w:pPr>
    </w:p>
    <w:p w:rsidR="00D329AD" w:rsidRPr="006D3237" w:rsidRDefault="006D3237" w:rsidP="006D3237"/>
    <w:sectPr w:rsidR="00D329AD" w:rsidRPr="006D3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28"/>
    <w:rsid w:val="00214328"/>
    <w:rsid w:val="005C1385"/>
    <w:rsid w:val="006D3237"/>
    <w:rsid w:val="00B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41D35-7B7C-4CB9-ACD3-FEC39AB3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3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3237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6D3237"/>
    <w:rPr>
      <w:rFonts w:ascii="Verdana" w:eastAsia="Times New Roman" w:hAnsi="Verdana" w:cs="Times New Roman"/>
      <w:szCs w:val="24"/>
      <w:lang w:val="en-US"/>
    </w:rPr>
  </w:style>
  <w:style w:type="paragraph" w:customStyle="1" w:styleId="Appendix">
    <w:name w:val="Appendix"/>
    <w:basedOn w:val="Title"/>
    <w:rsid w:val="006D3237"/>
    <w:pPr>
      <w:contextualSpacing w:val="0"/>
      <w:jc w:val="center"/>
    </w:pPr>
    <w:rPr>
      <w:rFonts w:ascii="Verdana" w:eastAsia="Times New Roman" w:hAnsi="Verdana" w:cs="Times New Roman"/>
      <w:b/>
      <w:iCs/>
      <w:spacing w:val="0"/>
      <w:kern w:val="0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32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2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 Parvez. Ahmed</dc:creator>
  <cp:keywords/>
  <dc:description/>
  <cp:lastModifiedBy>Ashik Parvez. Ahmed</cp:lastModifiedBy>
  <cp:revision>2</cp:revision>
  <dcterms:created xsi:type="dcterms:W3CDTF">2019-06-19T11:42:00Z</dcterms:created>
  <dcterms:modified xsi:type="dcterms:W3CDTF">2019-06-19T11:45:00Z</dcterms:modified>
</cp:coreProperties>
</file>